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39C9" w14:textId="50BC9522" w:rsidR="00C01F42" w:rsidRPr="005D5F4A" w:rsidRDefault="005D5F4A">
      <w:pPr>
        <w:rPr>
          <w:rFonts w:ascii="Century Gothic" w:hAnsi="Century Gothic"/>
          <w:b/>
          <w:bCs/>
          <w:sz w:val="18"/>
          <w:szCs w:val="18"/>
        </w:rPr>
      </w:pPr>
      <w:r w:rsidRPr="005D5F4A">
        <w:rPr>
          <w:rFonts w:ascii="Century Gothic" w:hAnsi="Century Gothic"/>
          <w:b/>
          <w:bCs/>
          <w:sz w:val="18"/>
          <w:szCs w:val="18"/>
        </w:rPr>
        <w:t>A</w:t>
      </w:r>
      <w:r w:rsidRPr="005D5F4A">
        <w:rPr>
          <w:rFonts w:ascii="Century Gothic" w:hAnsi="Century Gothic"/>
          <w:b/>
          <w:bCs/>
          <w:sz w:val="18"/>
          <w:szCs w:val="18"/>
        </w:rPr>
        <w:t>BSTRACT</w:t>
      </w:r>
    </w:p>
    <w:p w14:paraId="2E504812" w14:textId="5202CDD4" w:rsidR="004128F9" w:rsidRPr="005D5F4A" w:rsidRDefault="005D5F4A" w:rsidP="00C01F42">
      <w:pPr>
        <w:jc w:val="both"/>
        <w:rPr>
          <w:rFonts w:ascii="Century Gothic" w:hAnsi="Century Gothic"/>
          <w:sz w:val="18"/>
          <w:szCs w:val="18"/>
        </w:rPr>
      </w:pPr>
      <w:r w:rsidRPr="005D5F4A">
        <w:rPr>
          <w:rFonts w:ascii="Century Gothic" w:hAnsi="Century Gothic"/>
          <w:sz w:val="18"/>
          <w:szCs w:val="18"/>
        </w:rPr>
        <w:t xml:space="preserve">With the narrative and visual turn engaging research in several scholarly disciplines over the last decades, the author of this article intends to approach the issue of world </w:t>
      </w:r>
      <w:r w:rsidRPr="005D5F4A">
        <w:rPr>
          <w:rFonts w:ascii="Cambria Math" w:hAnsi="Cambria Math" w:cs="Cambria Math"/>
          <w:sz w:val="18"/>
          <w:szCs w:val="18"/>
        </w:rPr>
        <w:t>‑</w:t>
      </w:r>
      <w:r w:rsidRPr="005D5F4A">
        <w:rPr>
          <w:rFonts w:ascii="Century Gothic" w:hAnsi="Century Gothic"/>
          <w:sz w:val="18"/>
          <w:szCs w:val="18"/>
        </w:rPr>
        <w:t>formation in such pictorial representations that have originated in response to verbal texts, mostly literary. The study assumes a semiotic vantage point, with text understood broadly as any meaningful</w:t>
      </w:r>
      <w:r w:rsidR="00C01F42">
        <w:rPr>
          <w:rFonts w:ascii="Century Gothic" w:hAnsi="Century Gothic"/>
          <w:sz w:val="18"/>
          <w:szCs w:val="18"/>
        </w:rPr>
        <w:t xml:space="preserve"> </w:t>
      </w:r>
      <w:r w:rsidR="00C01F42" w:rsidRPr="00C01F42">
        <w:rPr>
          <w:rFonts w:ascii="Century Gothic" w:hAnsi="Century Gothic"/>
          <w:sz w:val="18"/>
          <w:szCs w:val="18"/>
        </w:rPr>
        <w:t>sequence or network of signs. It draws also from Intermedial Studies, following in particular the idea of media transformation (transmediation) as proposed by Lars Elleström (2014), especially in application to “qualified” media such as artistic forms. An  analysis will be carried on the  set of images (mostly Western paintings and one instance of Oriental sculpture) produced by 19th and 20th</w:t>
      </w:r>
      <w:r w:rsidR="00C01F42" w:rsidRPr="00C01F42">
        <w:rPr>
          <w:rFonts w:ascii="Cambria Math" w:hAnsi="Cambria Math" w:cs="Cambria Math"/>
          <w:sz w:val="18"/>
          <w:szCs w:val="18"/>
        </w:rPr>
        <w:t>‑</w:t>
      </w:r>
      <w:r w:rsidR="00C01F42" w:rsidRPr="00C01F42">
        <w:rPr>
          <w:rFonts w:ascii="Century Gothic" w:hAnsi="Century Gothic"/>
          <w:sz w:val="18"/>
          <w:szCs w:val="18"/>
        </w:rPr>
        <w:t>century artists, all induced by well</w:t>
      </w:r>
      <w:r w:rsidR="00C01F42" w:rsidRPr="00C01F42">
        <w:rPr>
          <w:rFonts w:ascii="Cambria Math" w:hAnsi="Cambria Math" w:cs="Cambria Math"/>
          <w:sz w:val="18"/>
          <w:szCs w:val="18"/>
        </w:rPr>
        <w:t>‑</w:t>
      </w:r>
      <w:r w:rsidR="00C01F42" w:rsidRPr="00C01F42">
        <w:rPr>
          <w:rFonts w:ascii="Century Gothic" w:hAnsi="Century Gothic"/>
          <w:sz w:val="18"/>
          <w:szCs w:val="18"/>
        </w:rPr>
        <w:t xml:space="preserve">known verbal narratives that represent three categories: a) Greek mythology, b) religious and literary </w:t>
      </w:r>
      <w:r w:rsidR="00C01F42" w:rsidRPr="00C01F42">
        <w:rPr>
          <w:rFonts w:ascii="Cambria Math" w:hAnsi="Cambria Math" w:cs="Cambria Math"/>
          <w:sz w:val="18"/>
          <w:szCs w:val="18"/>
        </w:rPr>
        <w:t>‑</w:t>
      </w:r>
      <w:r w:rsidR="00C01F42" w:rsidRPr="00C01F42">
        <w:rPr>
          <w:rFonts w:ascii="Century Gothic" w:hAnsi="Century Gothic"/>
          <w:sz w:val="18"/>
          <w:szCs w:val="18"/>
        </w:rPr>
        <w:t>religious texts (The</w:t>
      </w:r>
      <w:r w:rsidR="00C01F42" w:rsidRPr="00C01F42">
        <w:rPr>
          <w:rFonts w:ascii="Century Gothic" w:hAnsi="Century Gothic" w:cs="Century Gothic"/>
          <w:sz w:val="18"/>
          <w:szCs w:val="18"/>
        </w:rPr>
        <w:t> </w:t>
      </w:r>
      <w:r w:rsidR="00C01F42" w:rsidRPr="00C01F42">
        <w:rPr>
          <w:rFonts w:ascii="Century Gothic" w:hAnsi="Century Gothic"/>
          <w:sz w:val="18"/>
          <w:szCs w:val="18"/>
        </w:rPr>
        <w:t>New Testament, the</w:t>
      </w:r>
      <w:r w:rsidR="00C01F42" w:rsidRPr="00C01F42">
        <w:rPr>
          <w:rFonts w:ascii="Century Gothic" w:hAnsi="Century Gothic" w:cs="Century Gothic"/>
          <w:sz w:val="18"/>
          <w:szCs w:val="18"/>
        </w:rPr>
        <w:t> </w:t>
      </w:r>
      <w:r w:rsidR="00C01F42" w:rsidRPr="00C01F42">
        <w:rPr>
          <w:rFonts w:ascii="Century Gothic" w:hAnsi="Century Gothic"/>
          <w:sz w:val="18"/>
          <w:szCs w:val="18"/>
        </w:rPr>
        <w:t>R</w:t>
      </w:r>
      <w:r w:rsidR="00C01F42" w:rsidRPr="00C01F42">
        <w:rPr>
          <w:rFonts w:ascii="Century Gothic" w:hAnsi="Century Gothic" w:cs="Century Gothic"/>
          <w:sz w:val="18"/>
          <w:szCs w:val="18"/>
        </w:rPr>
        <w:t>ā</w:t>
      </w:r>
      <w:r w:rsidR="00C01F42" w:rsidRPr="00C01F42">
        <w:rPr>
          <w:rFonts w:ascii="Century Gothic" w:hAnsi="Century Gothic"/>
          <w:sz w:val="18"/>
          <w:szCs w:val="18"/>
        </w:rPr>
        <w:t>m</w:t>
      </w:r>
      <w:r w:rsidR="00C01F42" w:rsidRPr="00C01F42">
        <w:rPr>
          <w:rFonts w:ascii="Century Gothic" w:hAnsi="Century Gothic" w:cs="Century Gothic"/>
          <w:sz w:val="18"/>
          <w:szCs w:val="18"/>
        </w:rPr>
        <w:t>ā</w:t>
      </w:r>
      <w:r w:rsidR="00C01F42" w:rsidRPr="00C01F42">
        <w:rPr>
          <w:rFonts w:ascii="Century Gothic" w:hAnsi="Century Gothic"/>
          <w:sz w:val="18"/>
          <w:szCs w:val="18"/>
        </w:rPr>
        <w:t xml:space="preserve">yana) and c) English </w:t>
      </w:r>
      <w:r w:rsidR="00C01F42" w:rsidRPr="00C01F42">
        <w:rPr>
          <w:rFonts w:ascii="Cambria Math" w:hAnsi="Cambria Math" w:cs="Cambria Math"/>
          <w:sz w:val="18"/>
          <w:szCs w:val="18"/>
        </w:rPr>
        <w:t>‑</w:t>
      </w:r>
      <w:r w:rsidR="00C01F42" w:rsidRPr="00C01F42">
        <w:rPr>
          <w:rFonts w:ascii="Century Gothic" w:hAnsi="Century Gothic"/>
          <w:sz w:val="18"/>
          <w:szCs w:val="18"/>
        </w:rPr>
        <w:t>language literature (drama and poetry). As such, these visual renditions</w:t>
      </w:r>
      <w:r w:rsidR="00C01F42" w:rsidRPr="00C01F42">
        <w:rPr>
          <w:rFonts w:ascii="Century Gothic" w:hAnsi="Century Gothic" w:cs="Century Gothic"/>
          <w:sz w:val="18"/>
          <w:szCs w:val="18"/>
        </w:rPr>
        <w:t> </w:t>
      </w:r>
      <w:r w:rsidR="00C01F42">
        <w:rPr>
          <w:rFonts w:ascii="Century Gothic" w:hAnsi="Century Gothic" w:cs="Century Gothic"/>
          <w:sz w:val="18"/>
          <w:szCs w:val="18"/>
        </w:rPr>
        <w:t>–</w:t>
      </w:r>
      <w:r w:rsidR="00C01F42" w:rsidRPr="00C01F42">
        <w:rPr>
          <w:rFonts w:ascii="Century Gothic" w:hAnsi="Century Gothic"/>
          <w:sz w:val="18"/>
          <w:szCs w:val="18"/>
        </w:rPr>
        <w:t xml:space="preserve"> a</w:t>
      </w:r>
      <w:r w:rsidR="00C01F42" w:rsidRPr="00C01F42">
        <w:rPr>
          <w:rFonts w:ascii="Century Gothic" w:hAnsi="Century Gothic" w:cs="Century Gothic"/>
          <w:sz w:val="18"/>
          <w:szCs w:val="18"/>
        </w:rPr>
        <w:t> </w:t>
      </w:r>
      <w:r w:rsidR="00C01F42" w:rsidRPr="00C01F42">
        <w:rPr>
          <w:rFonts w:ascii="Century Gothic" w:hAnsi="Century Gothic"/>
          <w:sz w:val="18"/>
          <w:szCs w:val="18"/>
        </w:rPr>
        <w:t>reversal of traditionally conceived ekphrasis in which verbal descriptions commented on visual artefacts </w:t>
      </w:r>
      <w:r w:rsidR="00341C04">
        <w:rPr>
          <w:rFonts w:ascii="Century Gothic" w:hAnsi="Century Gothic"/>
          <w:sz w:val="18"/>
          <w:szCs w:val="18"/>
        </w:rPr>
        <w:t>–</w:t>
      </w:r>
      <w:r w:rsidR="00C01F42" w:rsidRPr="00C01F42">
        <w:rPr>
          <w:rFonts w:ascii="Century Gothic" w:hAnsi="Century Gothic"/>
          <w:sz w:val="18"/>
          <w:szCs w:val="18"/>
        </w:rPr>
        <w:t xml:space="preserve"> qualify as transmedial phenomena. The author’s main concern is to what extent storytelling static visual works, the instances of secondary narrativity (Stampoulidis, 2019), are capable of creating text worlds (partly) similar to storyworlds postulated for verbal narratives. Starting with her own taxonomy of picturing endowed with a narratorial potential (inspired by several typologies proposed for narrative images), the author will discuss the formation by pictorial means of two world </w:t>
      </w:r>
      <w:r w:rsidR="00C01F42" w:rsidRPr="00C01F42">
        <w:rPr>
          <w:rFonts w:ascii="Cambria Math" w:hAnsi="Cambria Math" w:cs="Cambria Math"/>
          <w:sz w:val="18"/>
          <w:szCs w:val="18"/>
        </w:rPr>
        <w:t>‑</w:t>
      </w:r>
      <w:r w:rsidR="00C01F42" w:rsidRPr="00C01F42">
        <w:rPr>
          <w:rFonts w:ascii="Century Gothic" w:hAnsi="Century Gothic"/>
          <w:sz w:val="18"/>
          <w:szCs w:val="18"/>
        </w:rPr>
        <w:t xml:space="preserve">building units, namely: 1) scenes and 2) small worlds/sub </w:t>
      </w:r>
      <w:r w:rsidR="00C01F42" w:rsidRPr="00C01F42">
        <w:rPr>
          <w:rFonts w:ascii="Cambria Math" w:hAnsi="Cambria Math" w:cs="Cambria Math"/>
          <w:sz w:val="18"/>
          <w:szCs w:val="18"/>
        </w:rPr>
        <w:t>‑</w:t>
      </w:r>
      <w:r w:rsidR="00C01F42" w:rsidRPr="00C01F42">
        <w:rPr>
          <w:rFonts w:ascii="Century Gothic" w:hAnsi="Century Gothic"/>
          <w:sz w:val="18"/>
          <w:szCs w:val="18"/>
        </w:rPr>
        <w:t xml:space="preserve">worlds, both of them only parts of full </w:t>
      </w:r>
      <w:r w:rsidR="00C01F42" w:rsidRPr="00C01F42">
        <w:rPr>
          <w:rFonts w:ascii="Cambria Math" w:hAnsi="Cambria Math" w:cs="Cambria Math"/>
          <w:sz w:val="18"/>
          <w:szCs w:val="18"/>
        </w:rPr>
        <w:t>‑</w:t>
      </w:r>
      <w:r w:rsidR="00C01F42" w:rsidRPr="00C01F42">
        <w:rPr>
          <w:rFonts w:ascii="Century Gothic" w:hAnsi="Century Gothic"/>
          <w:sz w:val="18"/>
          <w:szCs w:val="18"/>
        </w:rPr>
        <w:t>blown text worlds. Temporality emerges as a</w:t>
      </w:r>
      <w:r w:rsidR="00C01F42" w:rsidRPr="00C01F42">
        <w:rPr>
          <w:rFonts w:ascii="Century Gothic" w:hAnsi="Century Gothic" w:cs="Century Gothic"/>
          <w:sz w:val="18"/>
          <w:szCs w:val="18"/>
        </w:rPr>
        <w:t> </w:t>
      </w:r>
      <w:r w:rsidR="00C01F42" w:rsidRPr="00C01F42">
        <w:rPr>
          <w:rFonts w:ascii="Century Gothic" w:hAnsi="Century Gothic"/>
          <w:sz w:val="18"/>
          <w:szCs w:val="18"/>
        </w:rPr>
        <w:t>foundational but not exclusive property of text worlds in the</w:t>
      </w:r>
      <w:r w:rsidR="00C01F42" w:rsidRPr="00C01F42">
        <w:rPr>
          <w:rFonts w:ascii="Century Gothic" w:hAnsi="Century Gothic" w:cs="Century Gothic"/>
          <w:sz w:val="18"/>
          <w:szCs w:val="18"/>
        </w:rPr>
        <w:t> </w:t>
      </w:r>
      <w:r w:rsidR="00C01F42" w:rsidRPr="00C01F42">
        <w:rPr>
          <w:rFonts w:ascii="Century Gothic" w:hAnsi="Century Gothic"/>
          <w:sz w:val="18"/>
          <w:szCs w:val="18"/>
        </w:rPr>
        <w:t>verbal and pictorial arts. This study is a</w:t>
      </w:r>
      <w:r w:rsidR="00C01F42" w:rsidRPr="00C01F42">
        <w:rPr>
          <w:rFonts w:ascii="Century Gothic" w:hAnsi="Century Gothic" w:cs="Century Gothic"/>
          <w:sz w:val="18"/>
          <w:szCs w:val="18"/>
        </w:rPr>
        <w:t> </w:t>
      </w:r>
      <w:r w:rsidR="00C01F42" w:rsidRPr="00C01F42">
        <w:rPr>
          <w:rFonts w:ascii="Century Gothic" w:hAnsi="Century Gothic"/>
          <w:sz w:val="18"/>
          <w:szCs w:val="18"/>
        </w:rPr>
        <w:t xml:space="preserve">continuation of the author’s previous research (Chrzanowska </w:t>
      </w:r>
      <w:r w:rsidR="00C01F42" w:rsidRPr="00C01F42">
        <w:rPr>
          <w:rFonts w:ascii="Cambria Math" w:hAnsi="Cambria Math" w:cs="Cambria Math"/>
          <w:sz w:val="18"/>
          <w:szCs w:val="18"/>
        </w:rPr>
        <w:t>‑</w:t>
      </w:r>
      <w:r w:rsidR="00C01F42" w:rsidRPr="00C01F42">
        <w:rPr>
          <w:rFonts w:ascii="Century Gothic" w:hAnsi="Century Gothic"/>
          <w:sz w:val="18"/>
          <w:szCs w:val="18"/>
        </w:rPr>
        <w:t>Kluczewska, 2009, 2016, 2019) that points to an</w:t>
      </w:r>
      <w:r w:rsidR="00C01F42" w:rsidRPr="00C01F42">
        <w:rPr>
          <w:rFonts w:ascii="Century Gothic" w:hAnsi="Century Gothic" w:cs="Century Gothic"/>
          <w:sz w:val="18"/>
          <w:szCs w:val="18"/>
        </w:rPr>
        <w:t> </w:t>
      </w:r>
      <w:r w:rsidR="00C01F42" w:rsidRPr="00C01F42">
        <w:rPr>
          <w:rFonts w:ascii="Century Gothic" w:hAnsi="Century Gothic"/>
          <w:sz w:val="18"/>
          <w:szCs w:val="18"/>
        </w:rPr>
        <w:t>incremental growth of possible worlds into text worlds into discourse worlds in verbal and visual media.</w:t>
      </w:r>
    </w:p>
    <w:sectPr w:rsidR="004128F9" w:rsidRPr="005D5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9"/>
    <w:rsid w:val="00341C04"/>
    <w:rsid w:val="003E6CDE"/>
    <w:rsid w:val="004128F9"/>
    <w:rsid w:val="005D5F4A"/>
    <w:rsid w:val="00C01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B686"/>
  <w15:chartTrackingRefBased/>
  <w15:docId w15:val="{2F9DEE08-F0BC-4653-8C1E-979ED232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1824</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5</cp:revision>
  <dcterms:created xsi:type="dcterms:W3CDTF">2023-06-23T12:28:00Z</dcterms:created>
  <dcterms:modified xsi:type="dcterms:W3CDTF">2023-06-23T12:32:00Z</dcterms:modified>
</cp:coreProperties>
</file>