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A049" w14:textId="46D3FAC5" w:rsidR="00AD6ACB" w:rsidRPr="00AD6ACB" w:rsidRDefault="009C6B2C" w:rsidP="009C6B2C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AD6ACB">
        <w:rPr>
          <w:rFonts w:ascii="Century Gothic" w:hAnsi="Century Gothic"/>
          <w:b/>
          <w:bCs/>
          <w:sz w:val="18"/>
          <w:szCs w:val="18"/>
          <w:lang w:val="en-US"/>
        </w:rPr>
        <w:t>A</w:t>
      </w:r>
      <w:r w:rsidR="00AD6ACB">
        <w:rPr>
          <w:rFonts w:ascii="Century Gothic" w:hAnsi="Century Gothic"/>
          <w:b/>
          <w:bCs/>
          <w:sz w:val="18"/>
          <w:szCs w:val="18"/>
          <w:lang w:val="en-US"/>
        </w:rPr>
        <w:t>BSTRACT</w:t>
      </w:r>
    </w:p>
    <w:p w14:paraId="2B606CE7" w14:textId="0DEB977C" w:rsidR="004E21F3" w:rsidRPr="00AD6ACB" w:rsidRDefault="00DD3055" w:rsidP="00DD3055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DD3055">
        <w:rPr>
          <w:rFonts w:ascii="Century Gothic" w:hAnsi="Century Gothic"/>
          <w:sz w:val="18"/>
          <w:szCs w:val="18"/>
          <w:lang w:val="en-US"/>
        </w:rPr>
        <w:t>This article reflects on the bi</w:t>
      </w:r>
      <w:r w:rsidRPr="00DD3055">
        <w:rPr>
          <w:rFonts w:ascii="Cambria Math" w:hAnsi="Cambria Math" w:cs="Cambria Math"/>
          <w:sz w:val="18"/>
          <w:szCs w:val="18"/>
          <w:lang w:val="en-US"/>
        </w:rPr>
        <w:t>‑</w:t>
      </w:r>
      <w:r w:rsidRPr="00DD3055">
        <w:rPr>
          <w:rFonts w:ascii="Century Gothic" w:hAnsi="Century Gothic"/>
          <w:sz w:val="18"/>
          <w:szCs w:val="18"/>
          <w:lang w:val="en-US"/>
        </w:rPr>
        <w:t>directional,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reflexive work of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scholarship and spirituality. It begins with the author’s positionality as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a Christian language educator who has researched spiritually in her field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of Teaching English as a Second Language (TESOL). A brief introduction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of seminal works in faith and scholarship is provided, followed by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a discussion of how scholarship within one faith tradition might be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applied to others. The concept of scholars as spiritual beings is raised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with a reflection on the limits of categorizing acts as either sacred or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secular, and how this polarity hinders deeper, more meaningful ways to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engage in scholarship when even the mundane is seen as spiritual and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so</w:t>
      </w:r>
      <w:r w:rsidR="001C28C4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called ‘spiritual’ acts are reconsidered as potentially empty ritual. Five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trajectories of spiritual scholarship are described with examples for each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trajectory from the author’s work: 1. Vertical: enlarging our understanding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of God; 2. Outward: revealing an understanding of nature and the universe;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3. Horizontal: improving our spiritual service to others; 4. Inward: deepening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our spiritual identity; 5. Multidimensional: providing a spiritual understanding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through difficult life events and finding meaning and interconnectedness to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God, self &amp; others. Reflection on the legitimacy of scholarship and spirituality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DD3055">
        <w:rPr>
          <w:rFonts w:ascii="Century Gothic" w:hAnsi="Century Gothic"/>
          <w:sz w:val="18"/>
          <w:szCs w:val="18"/>
          <w:lang w:val="en-US"/>
        </w:rPr>
        <w:t>concludes the article.</w:t>
      </w:r>
    </w:p>
    <w:sectPr w:rsidR="004E21F3" w:rsidRPr="00AD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3"/>
    <w:rsid w:val="001C28C4"/>
    <w:rsid w:val="004E21F3"/>
    <w:rsid w:val="00996164"/>
    <w:rsid w:val="009C6B2C"/>
    <w:rsid w:val="00AD6ACB"/>
    <w:rsid w:val="00D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BBE"/>
  <w15:chartTrackingRefBased/>
  <w15:docId w15:val="{31D1FE9F-4562-4253-B4FF-FF6D0B5F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1157</Characters>
  <Application>Microsoft Office Word</Application>
  <DocSecurity>0</DocSecurity>
  <Lines>14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Śliz Agnieszka</dc:creator>
  <cp:keywords/>
  <dc:description/>
  <cp:lastModifiedBy>Śliz Agnieszka</cp:lastModifiedBy>
  <cp:revision>5</cp:revision>
  <dcterms:created xsi:type="dcterms:W3CDTF">2024-01-21T22:24:00Z</dcterms:created>
  <dcterms:modified xsi:type="dcterms:W3CDTF">2024-06-26T07:49:00Z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ab1d26ed0afc3bc6408ae818ff48bfc0c7b36aa36c41d068998a9802c127d54f</vt:lpwstr>
  </property>
</Properties>
</file>