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C22E" w14:textId="77777777" w:rsidR="00DB10C4" w:rsidRPr="00DB10C4" w:rsidRDefault="00DB10C4" w:rsidP="00DB10C4">
      <w:pPr>
        <w:rPr>
          <w:lang w:val="en-US"/>
        </w:rPr>
      </w:pPr>
      <w:r w:rsidRPr="00DB10C4">
        <w:rPr>
          <w:b/>
          <w:bCs/>
          <w:lang w:val="en-US"/>
        </w:rPr>
        <w:t xml:space="preserve">Abstract: </w:t>
      </w:r>
      <w:r w:rsidRPr="00DB10C4">
        <w:rPr>
          <w:lang w:val="en-US"/>
        </w:rPr>
        <w:t>The emergence of generative artificial intelligence (AI) necessitates a re</w:t>
      </w:r>
      <w:r w:rsidRPr="00DB10C4">
        <w:rPr>
          <w:lang w:val="en-US"/>
        </w:rPr>
        <w:noBreakHyphen/>
        <w:t xml:space="preserve">evaluation of the foundational structures of artistic creation and reception. This article </w:t>
      </w:r>
      <w:proofErr w:type="spellStart"/>
      <w:r w:rsidRPr="00DB10C4">
        <w:rPr>
          <w:lang w:val="en-US"/>
        </w:rPr>
        <w:t>utilises</w:t>
      </w:r>
      <w:proofErr w:type="spellEnd"/>
      <w:r w:rsidRPr="00DB10C4">
        <w:rPr>
          <w:lang w:val="en-US"/>
        </w:rPr>
        <w:t xml:space="preserve"> the “aesthetic situation” theory, originally formulated by Maria </w:t>
      </w:r>
      <w:proofErr w:type="spellStart"/>
      <w:r w:rsidRPr="00DB10C4">
        <w:rPr>
          <w:lang w:val="en-US"/>
        </w:rPr>
        <w:t>Gołaszewska</w:t>
      </w:r>
      <w:proofErr w:type="spellEnd"/>
      <w:r w:rsidRPr="00DB10C4">
        <w:rPr>
          <w:lang w:val="en-US"/>
        </w:rPr>
        <w:t xml:space="preserve"> (1984) and recently expanded through a managerial lens by Michał Szostak (</w:t>
      </w:r>
      <w:proofErr w:type="spellStart"/>
      <w:r w:rsidRPr="00DB10C4">
        <w:rPr>
          <w:lang w:val="en-US"/>
        </w:rPr>
        <w:t>2023b</w:t>
      </w:r>
      <w:proofErr w:type="spellEnd"/>
      <w:r w:rsidRPr="00DB10C4">
        <w:rPr>
          <w:lang w:val="en-US"/>
        </w:rPr>
        <w:t xml:space="preserve">), to </w:t>
      </w:r>
      <w:proofErr w:type="spellStart"/>
      <w:r w:rsidRPr="00DB10C4">
        <w:rPr>
          <w:lang w:val="en-US"/>
        </w:rPr>
        <w:t>analyse</w:t>
      </w:r>
      <w:proofErr w:type="spellEnd"/>
      <w:r w:rsidRPr="00DB10C4">
        <w:rPr>
          <w:lang w:val="en-US"/>
        </w:rPr>
        <w:t xml:space="preserve"> the transformative impact of computational agents on the creative process. Building upon the distinction between “supporting” and “substituting” AI roles (Szostak &amp; </w:t>
      </w:r>
      <w:proofErr w:type="spellStart"/>
      <w:r w:rsidRPr="00DB10C4">
        <w:rPr>
          <w:lang w:val="en-US"/>
        </w:rPr>
        <w:t>Modliński</w:t>
      </w:r>
      <w:proofErr w:type="spellEnd"/>
      <w:r w:rsidRPr="00DB10C4">
        <w:rPr>
          <w:lang w:val="en-US"/>
        </w:rPr>
        <w:t>, 2025), this paper introduces a conceptual model of “algorithmic exemplification”. It posits that generative AI functions as a technical mediator, translating an artist’s internal “mental concept” into a publicly accessible artefact through iterative prompting and latent</w:t>
      </w:r>
      <w:r w:rsidRPr="00DB10C4">
        <w:rPr>
          <w:lang w:val="en-US"/>
        </w:rPr>
        <w:noBreakHyphen/>
        <w:t xml:space="preserve">space navigation. By systematically </w:t>
      </w:r>
      <w:proofErr w:type="spellStart"/>
      <w:r w:rsidRPr="00DB10C4">
        <w:rPr>
          <w:lang w:val="en-US"/>
        </w:rPr>
        <w:t>analysing</w:t>
      </w:r>
      <w:proofErr w:type="spellEnd"/>
      <w:r w:rsidRPr="00DB10C4">
        <w:rPr>
          <w:lang w:val="en-US"/>
        </w:rPr>
        <w:t xml:space="preserve"> the five components of the aesthetic situation</w:t>
      </w:r>
      <w:r w:rsidRPr="00DB10C4">
        <w:rPr>
          <w:i/>
          <w:iCs/>
          <w:lang w:val="en-US"/>
        </w:rPr>
        <w:t>—</w:t>
      </w:r>
      <w:r w:rsidRPr="00DB10C4">
        <w:rPr>
          <w:lang w:val="en-US"/>
        </w:rPr>
        <w:t>the artist, the artwork, the recipient, the world of values, and the real world</w:t>
      </w:r>
      <w:r w:rsidRPr="00DB10C4">
        <w:rPr>
          <w:i/>
          <w:iCs/>
          <w:lang w:val="en-US"/>
        </w:rPr>
        <w:t>—</w:t>
      </w:r>
      <w:r w:rsidRPr="00DB10C4">
        <w:rPr>
          <w:lang w:val="en-US"/>
        </w:rPr>
        <w:t>this article argues that generative AI does not merely automate production but reconfigures the ontic status of the artwork and the agency of the creator. The discussion highlights</w:t>
      </w:r>
      <w:r>
        <w:rPr>
          <w:lang w:val="en-US"/>
        </w:rPr>
        <w:t xml:space="preserve"> </w:t>
      </w:r>
      <w:r w:rsidRPr="00DB10C4">
        <w:rPr>
          <w:lang w:val="en-US"/>
        </w:rPr>
        <w:t>the shift from direct craftsmanship to “aesthetic situation management”, in which the artist’s role evolves into that of a curator and prompt engineer, potentially substituting for traditional manual skills while supporting higher</w:t>
      </w:r>
      <w:r w:rsidRPr="00DB10C4">
        <w:rPr>
          <w:lang w:val="en-US"/>
        </w:rPr>
        <w:noBreakHyphen/>
        <w:t xml:space="preserve">order conceptual synthesis. </w:t>
      </w:r>
    </w:p>
    <w:p w14:paraId="68AA22E6" w14:textId="207F1FAD" w:rsidR="008260BF" w:rsidRPr="00DB10C4" w:rsidRDefault="00DB10C4" w:rsidP="00DB10C4">
      <w:r w:rsidRPr="00DB10C4">
        <w:rPr>
          <w:b/>
          <w:bCs/>
          <w:lang w:val="en-US"/>
        </w:rPr>
        <w:t xml:space="preserve">Key words: </w:t>
      </w:r>
      <w:r w:rsidRPr="00DB10C4">
        <w:rPr>
          <w:lang w:val="en-US"/>
        </w:rPr>
        <w:t>aesthetic situation, generative artificial intelligence, Maria Gołaszewska, algorithmic exemplification, mental concept, computational creativity</w:t>
      </w:r>
    </w:p>
    <w:sectPr w:rsidR="008260BF" w:rsidRPr="00DB1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08"/>
    <w:rsid w:val="00017334"/>
    <w:rsid w:val="002A620F"/>
    <w:rsid w:val="0062560F"/>
    <w:rsid w:val="00767995"/>
    <w:rsid w:val="008260BF"/>
    <w:rsid w:val="008C3B4F"/>
    <w:rsid w:val="009D4F08"/>
    <w:rsid w:val="00B618B2"/>
    <w:rsid w:val="00B72F1C"/>
    <w:rsid w:val="00BC4AFB"/>
    <w:rsid w:val="00D06058"/>
    <w:rsid w:val="00DB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2D2A"/>
  <w15:chartTrackingRefBased/>
  <w15:docId w15:val="{3334BFE2-B2C3-4883-A944-02834474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334"/>
    <w:pPr>
      <w:jc w:val="both"/>
    </w:pPr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4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4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4F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4F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4F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4F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4F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4F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4F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F0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4F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4F08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4F08"/>
    <w:rPr>
      <w:rFonts w:eastAsiaTheme="majorEastAsia" w:cstheme="majorBidi"/>
      <w:i/>
      <w:iCs/>
      <w:color w:val="2F5496" w:themeColor="accent1" w:themeShade="BF"/>
      <w:sz w:val="24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4F08"/>
    <w:rPr>
      <w:rFonts w:eastAsiaTheme="majorEastAsia" w:cstheme="majorBidi"/>
      <w:color w:val="2F5496" w:themeColor="accent1" w:themeShade="BF"/>
      <w:sz w:val="24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4F08"/>
    <w:rPr>
      <w:rFonts w:eastAsiaTheme="majorEastAsia" w:cstheme="majorBidi"/>
      <w:i/>
      <w:iCs/>
      <w:color w:val="595959" w:themeColor="text1" w:themeTint="A6"/>
      <w:sz w:val="24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4F08"/>
    <w:rPr>
      <w:rFonts w:eastAsiaTheme="majorEastAsia" w:cstheme="majorBidi"/>
      <w:color w:val="595959" w:themeColor="text1" w:themeTint="A6"/>
      <w:sz w:val="24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4F08"/>
    <w:rPr>
      <w:rFonts w:eastAsiaTheme="majorEastAsia" w:cstheme="majorBidi"/>
      <w:i/>
      <w:iCs/>
      <w:color w:val="272727" w:themeColor="text1" w:themeTint="D8"/>
      <w:sz w:val="24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4F08"/>
    <w:rPr>
      <w:rFonts w:eastAsiaTheme="majorEastAsia" w:cstheme="majorBidi"/>
      <w:color w:val="272727" w:themeColor="text1" w:themeTint="D8"/>
      <w:sz w:val="24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9D4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4F08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4F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4F08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9D4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4F08"/>
    <w:rPr>
      <w:rFonts w:ascii="Times New Roman" w:hAnsi="Times New Roman"/>
      <w:i/>
      <w:iCs/>
      <w:color w:val="404040" w:themeColor="text1" w:themeTint="BF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9D4F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4F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4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4F08"/>
    <w:rPr>
      <w:rFonts w:ascii="Times New Roman" w:hAnsi="Times New Roman"/>
      <w:i/>
      <w:iCs/>
      <w:color w:val="2F5496" w:themeColor="accent1" w:themeShade="BF"/>
      <w:sz w:val="24"/>
      <w:lang w:val="pl-PL"/>
    </w:rPr>
  </w:style>
  <w:style w:type="character" w:styleId="Odwoanieintensywne">
    <w:name w:val="Intense Reference"/>
    <w:basedOn w:val="Domylnaczcionkaakapitu"/>
    <w:uiPriority w:val="32"/>
    <w:qFormat/>
    <w:rsid w:val="009D4F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Żak</dc:creator>
  <cp:keywords/>
  <dc:description/>
  <cp:lastModifiedBy>Julia Żak</cp:lastModifiedBy>
  <cp:revision>2</cp:revision>
  <dcterms:created xsi:type="dcterms:W3CDTF">2026-06-23T14:30:00Z</dcterms:created>
  <dcterms:modified xsi:type="dcterms:W3CDTF">2026-06-23T14:30:00Z</dcterms:modified>
</cp:coreProperties>
</file>